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5D8F6">
      <w:pPr>
        <w:pStyle w:val="2"/>
      </w:pPr>
      <w:bookmarkStart w:id="0" w:name="_Toc16035"/>
      <w:r>
        <w:rPr>
          <w:rFonts w:hint="eastAsia"/>
        </w:rPr>
        <w:t>第四部分  合同条款（参考）</w:t>
      </w:r>
      <w:bookmarkEnd w:id="0"/>
    </w:p>
    <w:p w14:paraId="6CF8043E">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3640" w:firstLineChars="1300"/>
        <w:jc w:val="both"/>
        <w:textAlignment w:val="auto"/>
        <w:rPr>
          <w:rFonts w:hint="eastAsia" w:ascii="宋体" w:hAnsi="宋体" w:eastAsia="宋体" w:cs="宋体"/>
          <w:sz w:val="28"/>
          <w:szCs w:val="28"/>
          <w:highlight w:val="none"/>
        </w:rPr>
      </w:pPr>
      <w:bookmarkStart w:id="1" w:name="_Toc18006"/>
      <w:bookmarkStart w:id="2" w:name="_Toc28172"/>
      <w:r>
        <w:rPr>
          <w:rFonts w:hint="eastAsia" w:ascii="宋体" w:hAnsi="宋体" w:eastAsia="宋体" w:cs="宋体"/>
          <w:b w:val="0"/>
          <w:bCs w:val="0"/>
          <w:kern w:val="2"/>
          <w:sz w:val="28"/>
          <w:szCs w:val="28"/>
          <w:highlight w:val="none"/>
        </w:rPr>
        <w:t>（参考格式）</w:t>
      </w:r>
      <w:bookmarkEnd w:id="1"/>
      <w:bookmarkEnd w:id="2"/>
    </w:p>
    <w:p w14:paraId="6362CCA2">
      <w:pPr>
        <w:keepNext w:val="0"/>
        <w:keepLines w:val="0"/>
        <w:pageBreakBefore w:val="0"/>
        <w:widowControl w:val="0"/>
        <w:tabs>
          <w:tab w:val="left" w:pos="5040"/>
        </w:tabs>
        <w:kinsoku/>
        <w:wordWrap/>
        <w:overflowPunct/>
        <w:topLinePunct w:val="0"/>
        <w:autoSpaceDE/>
        <w:autoSpaceDN/>
        <w:bidi w:val="0"/>
        <w:adjustRightInd/>
        <w:snapToGrid w:val="0"/>
        <w:spacing w:line="240" w:lineRule="auto"/>
        <w:ind w:firstLine="1960" w:firstLineChars="7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(最终以甲乙双方实际协商签定协议为准)</w:t>
      </w:r>
    </w:p>
    <w:p w14:paraId="4E43ECE0">
      <w:pPr>
        <w:spacing w:before="120"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合同编号：</w:t>
      </w:r>
    </w:p>
    <w:p w14:paraId="720FC832">
      <w:pPr>
        <w:spacing w:before="120" w:line="360" w:lineRule="auto"/>
        <w:rPr>
          <w:rFonts w:hint="eastAsia" w:ascii="宋体" w:hAnsi="宋体" w:eastAsia="宋体" w:cs="宋体"/>
          <w:sz w:val="28"/>
          <w:szCs w:val="28"/>
          <w:highlight w:val="none"/>
        </w:rPr>
      </w:pPr>
    </w:p>
    <w:p w14:paraId="422A434E">
      <w:pPr>
        <w:spacing w:before="120" w:line="360" w:lineRule="auto"/>
        <w:jc w:val="center"/>
        <w:rPr>
          <w:rFonts w:hint="eastAsia" w:ascii="宋体" w:hAnsi="宋体" w:eastAsia="宋体" w:cs="宋体"/>
          <w:b/>
          <w:bCs/>
          <w:sz w:val="52"/>
          <w:szCs w:val="52"/>
          <w:highlight w:val="none"/>
        </w:rPr>
      </w:pPr>
    </w:p>
    <w:p w14:paraId="637C697B">
      <w:pPr>
        <w:widowControl w:val="0"/>
        <w:spacing w:before="120" w:line="360" w:lineRule="auto"/>
        <w:ind w:firstLine="720" w:firstLineChars="200"/>
        <w:jc w:val="both"/>
        <w:rPr>
          <w:rFonts w:hint="eastAsia" w:ascii="宋体" w:hAnsi="宋体" w:eastAsia="宋体" w:cs="宋体"/>
          <w:kern w:val="2"/>
          <w:sz w:val="36"/>
          <w:szCs w:val="36"/>
          <w:highlight w:val="none"/>
          <w:lang w:val="en-US" w:eastAsia="zh-CN" w:bidi="ar-SA"/>
        </w:rPr>
      </w:pPr>
    </w:p>
    <w:p w14:paraId="517229C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食材采购服务项目合同</w:t>
      </w:r>
    </w:p>
    <w:p w14:paraId="405DBA74">
      <w:pPr>
        <w:spacing w:line="360" w:lineRule="auto"/>
        <w:ind w:firstLine="980" w:firstLineChars="350"/>
        <w:rPr>
          <w:rFonts w:hint="eastAsia" w:ascii="宋体" w:hAnsi="宋体" w:eastAsia="宋体" w:cs="宋体"/>
          <w:sz w:val="28"/>
          <w:szCs w:val="28"/>
          <w:highlight w:val="none"/>
        </w:rPr>
      </w:pPr>
    </w:p>
    <w:p w14:paraId="1FEF795F">
      <w:pPr>
        <w:spacing w:line="360" w:lineRule="auto"/>
        <w:ind w:firstLine="980" w:firstLineChars="350"/>
        <w:rPr>
          <w:rFonts w:hint="eastAsia" w:ascii="宋体" w:hAnsi="宋体" w:eastAsia="宋体" w:cs="宋体"/>
          <w:sz w:val="28"/>
          <w:szCs w:val="28"/>
          <w:highlight w:val="none"/>
        </w:rPr>
      </w:pPr>
    </w:p>
    <w:p w14:paraId="3BC21D3B">
      <w:pPr>
        <w:spacing w:line="360" w:lineRule="auto"/>
        <w:ind w:firstLine="980" w:firstLineChars="350"/>
        <w:rPr>
          <w:rFonts w:hint="eastAsia" w:ascii="宋体" w:hAnsi="宋体" w:eastAsia="宋体" w:cs="宋体"/>
          <w:sz w:val="28"/>
          <w:szCs w:val="28"/>
          <w:highlight w:val="none"/>
        </w:rPr>
      </w:pPr>
    </w:p>
    <w:p w14:paraId="41718C0C">
      <w:pPr>
        <w:spacing w:line="360" w:lineRule="auto"/>
        <w:ind w:firstLine="980" w:firstLineChars="350"/>
        <w:rPr>
          <w:rFonts w:hint="eastAsia" w:ascii="宋体" w:hAnsi="宋体" w:eastAsia="宋体" w:cs="宋体"/>
          <w:sz w:val="28"/>
          <w:szCs w:val="28"/>
          <w:highlight w:val="none"/>
        </w:rPr>
      </w:pPr>
    </w:p>
    <w:p w14:paraId="2C6D89ED">
      <w:pPr>
        <w:spacing w:line="360" w:lineRule="auto"/>
        <w:ind w:firstLine="1820" w:firstLineChars="650"/>
        <w:rPr>
          <w:rFonts w:hint="eastAsia" w:ascii="宋体" w:hAnsi="宋体" w:eastAsia="宋体" w:cs="宋体"/>
          <w:sz w:val="24"/>
          <w:highlight w:val="none"/>
          <w:lang w:val="en-US" w:eastAsia="zh-CN"/>
        </w:rPr>
      </w:pPr>
      <w:r>
        <w:rPr>
          <w:rFonts w:hint="eastAsia" w:ascii="宋体" w:hAnsi="宋体" w:eastAsia="宋体" w:cs="宋体"/>
          <w:sz w:val="28"/>
          <w:szCs w:val="28"/>
          <w:highlight w:val="none"/>
        </w:rPr>
        <w:t>采购人：</w:t>
      </w:r>
      <w:r>
        <w:rPr>
          <w:rFonts w:hint="eastAsia" w:ascii="宋体" w:hAnsi="宋体" w:eastAsia="宋体" w:cs="宋体"/>
          <w:sz w:val="24"/>
          <w:highlight w:val="none"/>
          <w:u w:val="single"/>
          <w:lang w:val="en-US" w:eastAsia="zh-CN"/>
        </w:rPr>
        <w:t xml:space="preserve">                             </w:t>
      </w:r>
    </w:p>
    <w:p w14:paraId="243CF696">
      <w:pPr>
        <w:spacing w:line="360" w:lineRule="auto"/>
        <w:ind w:firstLine="1820" w:firstLineChars="650"/>
        <w:rPr>
          <w:rFonts w:hint="eastAsia" w:ascii="宋体" w:hAnsi="宋体" w:eastAsia="宋体" w:cs="宋体"/>
          <w:sz w:val="28"/>
          <w:szCs w:val="28"/>
          <w:highlight w:val="none"/>
        </w:rPr>
      </w:pPr>
    </w:p>
    <w:p w14:paraId="5EB2BCCB">
      <w:pPr>
        <w:spacing w:line="360" w:lineRule="auto"/>
        <w:ind w:firstLine="1820" w:firstLineChars="65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成交供应商：</w:t>
      </w:r>
      <w:r>
        <w:rPr>
          <w:rFonts w:hint="eastAsia" w:ascii="宋体" w:hAnsi="宋体" w:eastAsia="宋体" w:cs="宋体"/>
          <w:sz w:val="28"/>
          <w:szCs w:val="28"/>
          <w:highlight w:val="none"/>
          <w:u w:val="single"/>
          <w:lang w:val="en-US" w:eastAsia="zh-CN"/>
        </w:rPr>
        <w:t xml:space="preserve">                     </w:t>
      </w:r>
    </w:p>
    <w:p w14:paraId="6B144D1D">
      <w:pPr>
        <w:spacing w:line="360" w:lineRule="auto"/>
        <w:ind w:firstLine="1820" w:firstLineChars="650"/>
        <w:rPr>
          <w:rFonts w:hint="eastAsia" w:ascii="宋体" w:hAnsi="宋体" w:eastAsia="宋体" w:cs="宋体"/>
          <w:sz w:val="28"/>
          <w:szCs w:val="28"/>
          <w:highlight w:val="none"/>
        </w:rPr>
      </w:pPr>
    </w:p>
    <w:p w14:paraId="75FB64B4">
      <w:pPr>
        <w:spacing w:line="360" w:lineRule="auto"/>
        <w:ind w:firstLine="1820" w:firstLineChars="650"/>
        <w:rPr>
          <w:rFonts w:hint="eastAsia" w:ascii="宋体" w:hAnsi="宋体" w:eastAsia="宋体" w:cs="宋体"/>
          <w:sz w:val="24"/>
          <w:highlight w:val="none"/>
          <w:u w:val="single"/>
          <w:lang w:val="en-US" w:eastAsia="zh-CN"/>
        </w:rPr>
      </w:pPr>
      <w:r>
        <w:rPr>
          <w:rFonts w:hint="eastAsia" w:ascii="宋体" w:hAnsi="宋体" w:eastAsia="宋体" w:cs="宋体"/>
          <w:sz w:val="28"/>
          <w:szCs w:val="28"/>
          <w:highlight w:val="none"/>
        </w:rPr>
        <w:t>签署日期</w:t>
      </w:r>
      <w:r>
        <w:rPr>
          <w:rFonts w:hint="eastAsia" w:ascii="宋体" w:hAnsi="宋体" w:eastAsia="宋体" w:cs="宋体"/>
          <w:sz w:val="24"/>
          <w:highlight w:val="none"/>
        </w:rPr>
        <w:t>：</w:t>
      </w:r>
      <w:r>
        <w:rPr>
          <w:rFonts w:hint="eastAsia" w:ascii="宋体" w:hAnsi="宋体" w:eastAsia="宋体" w:cs="宋体"/>
          <w:sz w:val="24"/>
          <w:highlight w:val="none"/>
          <w:u w:val="single"/>
          <w:lang w:val="en-US" w:eastAsia="zh-CN"/>
        </w:rPr>
        <w:t xml:space="preserve">                           </w:t>
      </w:r>
    </w:p>
    <w:p w14:paraId="01ED2B24">
      <w:pPr>
        <w:spacing w:line="360" w:lineRule="auto"/>
        <w:ind w:firstLine="1560" w:firstLineChars="650"/>
        <w:rPr>
          <w:rFonts w:hint="eastAsia" w:ascii="宋体" w:hAnsi="宋体" w:eastAsia="宋体" w:cs="宋体"/>
          <w:sz w:val="24"/>
          <w:highlight w:val="none"/>
          <w:u w:val="single"/>
          <w:lang w:val="en-US" w:eastAsia="zh-CN"/>
        </w:rPr>
      </w:pPr>
    </w:p>
    <w:p w14:paraId="049A24A1">
      <w:pPr>
        <w:spacing w:line="360" w:lineRule="auto"/>
        <w:ind w:firstLine="562" w:firstLineChars="200"/>
        <w:jc w:val="left"/>
        <w:rPr>
          <w:rFonts w:hint="eastAsia" w:ascii="宋体" w:hAnsi="宋体" w:eastAsia="宋体" w:cs="宋体"/>
          <w:b/>
          <w:kern w:val="0"/>
          <w:sz w:val="28"/>
          <w:szCs w:val="28"/>
          <w:highlight w:val="none"/>
        </w:rPr>
      </w:pPr>
    </w:p>
    <w:p w14:paraId="1390A398">
      <w:pPr>
        <w:rPr>
          <w:rFonts w:hint="eastAsia" w:ascii="宋体" w:hAnsi="宋体" w:eastAsia="宋体" w:cs="宋体"/>
          <w:bCs/>
          <w:sz w:val="24"/>
          <w:szCs w:val="24"/>
        </w:rPr>
      </w:pPr>
      <w:r>
        <w:rPr>
          <w:rFonts w:hint="eastAsia" w:ascii="宋体" w:hAnsi="宋体" w:eastAsia="宋体" w:cs="宋体"/>
          <w:bCs/>
          <w:sz w:val="24"/>
          <w:szCs w:val="24"/>
        </w:rPr>
        <w:br w:type="page"/>
      </w:r>
    </w:p>
    <w:p w14:paraId="1CD024A7">
      <w:pPr>
        <w:widowControl/>
        <w:kinsoku w:val="0"/>
        <w:autoSpaceDE w:val="0"/>
        <w:autoSpaceDN w:val="0"/>
        <w:adjustRightInd w:val="0"/>
        <w:snapToGrid w:val="0"/>
        <w:spacing w:line="360" w:lineRule="auto"/>
        <w:ind w:left="4"/>
        <w:jc w:val="left"/>
        <w:textAlignment w:val="baseline"/>
        <w:rPr>
          <w:rFonts w:hint="default"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en-US"/>
        </w:rPr>
        <w:t>采购人（甲方）：</w:t>
      </w:r>
      <w:r>
        <w:rPr>
          <w:rFonts w:hint="eastAsia" w:ascii="宋体" w:hAnsi="宋体" w:cs="宋体"/>
          <w:b/>
          <w:bCs/>
          <w:color w:val="000000"/>
          <w:sz w:val="24"/>
          <w:szCs w:val="24"/>
          <w:u w:val="single"/>
          <w:lang w:val="en-US" w:eastAsia="zh-CN"/>
        </w:rPr>
        <w:t xml:space="preserve">                           </w:t>
      </w:r>
      <w:bookmarkStart w:id="3" w:name="_GoBack"/>
      <w:bookmarkEnd w:id="3"/>
    </w:p>
    <w:p w14:paraId="45FA3A89">
      <w:pPr>
        <w:widowControl/>
        <w:kinsoku w:val="0"/>
        <w:autoSpaceDE w:val="0"/>
        <w:autoSpaceDN w:val="0"/>
        <w:adjustRightInd w:val="0"/>
        <w:snapToGrid w:val="0"/>
        <w:spacing w:line="360" w:lineRule="auto"/>
        <w:ind w:left="4"/>
        <w:jc w:val="left"/>
        <w:textAlignment w:val="baseline"/>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bCs/>
          <w:color w:val="000000"/>
          <w:sz w:val="24"/>
          <w:szCs w:val="24"/>
          <w:lang w:val="en-US" w:eastAsia="en-US"/>
        </w:rPr>
        <w:t>成交供应商（乙方）：</w:t>
      </w:r>
      <w:r>
        <w:rPr>
          <w:rFonts w:hint="eastAsia" w:ascii="宋体" w:hAnsi="宋体" w:eastAsia="宋体" w:cs="宋体"/>
          <w:b/>
          <w:bCs/>
          <w:color w:val="000000"/>
          <w:sz w:val="24"/>
          <w:szCs w:val="24"/>
          <w:u w:val="single"/>
          <w:lang w:val="en-US" w:eastAsia="zh-CN"/>
        </w:rPr>
        <w:t xml:space="preserve">                       </w:t>
      </w:r>
    </w:p>
    <w:p w14:paraId="0C788E86">
      <w:pPr>
        <w:widowControl/>
        <w:kinsoku w:val="0"/>
        <w:autoSpaceDE w:val="0"/>
        <w:autoSpaceDN w:val="0"/>
        <w:adjustRightInd w:val="0"/>
        <w:snapToGrid w:val="0"/>
        <w:spacing w:before="184" w:line="359" w:lineRule="auto"/>
        <w:ind w:left="3" w:firstLine="479"/>
        <w:jc w:val="both"/>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sz w:val="24"/>
          <w:szCs w:val="24"/>
          <w:lang w:eastAsia="en-US"/>
        </w:rPr>
        <w:t>根据《中华人民共和国民法典》、《中华人民共和国政府采购法》、《中华人民共和国政府采购法实施条例》、等法律法规，甲方通过竞争性磋商，选定乙方为成交单位</w:t>
      </w:r>
      <w:r>
        <w:rPr>
          <w:rFonts w:hint="eastAsia" w:ascii="宋体" w:hAnsi="宋体" w:eastAsia="宋体" w:cs="宋体"/>
          <w:b w:val="0"/>
          <w:bCs w:val="0"/>
          <w:snapToGrid w:val="0"/>
          <w:color w:val="000000"/>
          <w:kern w:val="0"/>
          <w:sz w:val="24"/>
          <w:szCs w:val="24"/>
          <w:lang w:eastAsia="en-US"/>
        </w:rPr>
        <w:t>。甲、乙双方在平等基础上协商一致，达成如下合同条款:</w:t>
      </w:r>
    </w:p>
    <w:p w14:paraId="38A3D6AA">
      <w:pPr>
        <w:widowControl/>
        <w:kinsoku w:val="0"/>
        <w:autoSpaceDE w:val="0"/>
        <w:autoSpaceDN w:val="0"/>
        <w:adjustRightInd w:val="0"/>
        <w:snapToGrid w:val="0"/>
        <w:spacing w:before="78" w:line="358" w:lineRule="auto"/>
        <w:ind w:left="1"/>
        <w:jc w:val="left"/>
        <w:textAlignment w:val="baseline"/>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一、服务内容及要求</w:t>
      </w:r>
    </w:p>
    <w:p w14:paraId="7FEF9BB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（一）服务内容：</w:t>
      </w:r>
    </w:p>
    <w:p w14:paraId="0A3B209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color w:val="000000"/>
          <w:sz w:val="24"/>
          <w:szCs w:val="24"/>
          <w:lang w:val="en-US" w:eastAsia="en-US"/>
        </w:rPr>
        <w:t>主要为街道食堂配送大米、面粉、食用油、蔬菜、水果、调味品、干货、豆制品、水产、冻货、大肉、牛羊肉、禽蛋，满足每日130人用餐需求。 供应商每日在约定时间提供新鲜食材及原料，保证食品高标准、高品质供应。</w:t>
      </w:r>
    </w:p>
    <w:p w14:paraId="0B24BCF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color w:val="000000"/>
          <w:sz w:val="24"/>
          <w:szCs w:val="24"/>
          <w:lang w:val="en-US" w:eastAsia="en-US"/>
        </w:rPr>
      </w:pPr>
      <w:r>
        <w:rPr>
          <w:rFonts w:hint="eastAsia" w:ascii="宋体" w:hAnsi="宋体" w:eastAsia="宋体" w:cs="宋体"/>
          <w:b/>
          <w:color w:val="000000"/>
          <w:sz w:val="24"/>
          <w:szCs w:val="24"/>
          <w:lang w:val="en-US" w:eastAsia="zh-CN"/>
        </w:rPr>
        <w:t>（二）</w:t>
      </w:r>
      <w:r>
        <w:rPr>
          <w:rFonts w:hint="eastAsia" w:ascii="宋体" w:hAnsi="宋体" w:eastAsia="宋体" w:cs="宋体"/>
          <w:b/>
          <w:color w:val="000000"/>
          <w:sz w:val="24"/>
          <w:szCs w:val="24"/>
          <w:lang w:val="en-US" w:eastAsia="zh-Hans"/>
        </w:rPr>
        <w:t>采买内容及要求：</w:t>
      </w:r>
    </w:p>
    <w:p w14:paraId="3FD2537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color w:val="000000"/>
          <w:sz w:val="24"/>
          <w:szCs w:val="24"/>
          <w:lang w:val="en-US" w:eastAsia="zh-Hans"/>
        </w:rPr>
      </w:pPr>
    </w:p>
    <w:p w14:paraId="0C4C4C8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二、服务内容及服务要求</w:t>
      </w:r>
    </w:p>
    <w:p w14:paraId="19F0BB7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1、服务内容：</w:t>
      </w:r>
    </w:p>
    <w:p w14:paraId="3AFAE95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（一）大米</w:t>
      </w:r>
    </w:p>
    <w:p w14:paraId="4A34BE2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1.规格：25公斤/装。</w:t>
      </w:r>
    </w:p>
    <w:p w14:paraId="6B22D42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2.质量要求</w:t>
      </w:r>
    </w:p>
    <w:p w14:paraId="7D3FA24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必须符合《国家产品质量法》、《国家食品安全法》为有效期限内安全卫生产品及国家行业标准的有关规定。物资验收实行索证制度，每批物资必须提供符合GB/T1354-2018大米国家标准的合格证或检验证。大米必须有食品安全标志。</w:t>
      </w:r>
    </w:p>
    <w:p w14:paraId="1D0597B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应为当年或上年度晚米，不得掺和陈米或杂米；米粒色泽纯白或淡白色，有光泽，呈半透明清澈饱满；呈长形或椭圆形，子粒均匀，组织紧密完整，无霉变、无虫害、无杂质，具有纯正的米香味，无霉味、无腐败、无异味。</w:t>
      </w:r>
    </w:p>
    <w:p w14:paraId="6F9347E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（二）面粉</w:t>
      </w:r>
    </w:p>
    <w:p w14:paraId="6A6EF15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1.规格：25公斤/袋。</w:t>
      </w:r>
    </w:p>
    <w:p w14:paraId="0C9AA3E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2.质量要求：面粉等级一级，应符合GB/T1355-2021及行业相关标准；卫生指标符合GB2715-2016、GB/T27620-2011规定并提供相应批次合格证或检验证。</w:t>
      </w:r>
    </w:p>
    <w:p w14:paraId="5EBA216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（三）食用油</w:t>
      </w:r>
    </w:p>
    <w:p w14:paraId="13BC503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1.规格：非转基因大豆油， 20L/桶；一级调和油，5L/桶；一级压榨花生油，5L/桶、2.5L/桶；菜籽油，1.64L/桶、5L/桶。</w:t>
      </w:r>
    </w:p>
    <w:p w14:paraId="581154A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2.质量要求</w:t>
      </w:r>
    </w:p>
    <w:p w14:paraId="701FAEC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符合GB/T 1535-2017 一级大豆油，指标要求并提供相应批次合格证或检验证。外观透明无杂质；气味、口感较好；水份及挥发物不超过0.05%；不溶性杂质不超过0.05%。符合GB/T 1534-2017 花生油指标要求，并提供相应批次合格证或检验证。外观澄清、透明；呈淡黄色或橙黄色。具有花生油固有的香味和滋味，无异味；水份及挥发物不超过0.10%；不溶性杂质不超过0.05%。</w:t>
      </w:r>
    </w:p>
    <w:p w14:paraId="49F3182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（四）蔬菜类</w:t>
      </w:r>
    </w:p>
    <w:p w14:paraId="48AB71F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质量要求：符合无公害农产品国家标准(《新鲜蔬菜卫生标准》GB18406.1-2001)。所供蔬菜应具有新鲜蔬菜原有的特性，成熟度适中，新鲜脆嫩，色泽良好，形态正常，个体均匀。外观清洁，无腐烂、无霉变、无异味，无影响食用的病虫害状及机械损伤。所供蔬菜的规格大小按市场行情确定。</w:t>
      </w:r>
    </w:p>
    <w:p w14:paraId="04BF170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（1）绿叶菜类：青菜、芹菜、大白菜、生菜、包草、大菠菜、空心菜、青苋菜、韭菜、蒜苗等；感官要求：肉质鲜嫩，形态好，色泽正常；茎基部削平；无花蕾或开花、包菜紧致，菠菜可带根。</w:t>
      </w:r>
    </w:p>
    <w:p w14:paraId="110E9CD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（2）水生蔬菜类：茭白、鲜藕、马蹄等；感官要求：水份充足，饱满，肉洁白脆嫩，无腐烂、干枯、泥多发软。</w:t>
      </w:r>
    </w:p>
    <w:p w14:paraId="213656B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（3）根茎菜类：长萝卜、白萝卜、番薯、小葱、洋葱、京葱、青大蒜、芋、姜等；感官要求：表面光滑、条直匀称，粗壮、碛实，肉质甜脆</w:t>
      </w:r>
    </w:p>
    <w:p w14:paraId="364CE59F">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4）瓜类：黄瓜、西南瓜、丝瓜、青南瓜、日本南瓜、老南瓜、佛手瓜、冬瓜、长瓜、苦瓜等；感官要求：颜色淡绿色，有光泽，有一定硬度，无弹性，皮薄，肉洁白鲜嫩，瓜形周正，无断裂、划伤、软烂、干皱、畸形。</w:t>
      </w:r>
    </w:p>
    <w:p w14:paraId="4A7D9FF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（5）豆类：四季豆、豇豆、新土豆、大土豆、光土豆、芸豆等；感官要求：颜色青绿、豆荚饱满，剥开后豆粒呈淡绿色，完整有清香，无受潮、虫洞、软烂、发黄、发黑、豆粒瘪而小有异昧。</w:t>
      </w:r>
    </w:p>
    <w:p w14:paraId="47061F6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6）茄果类：番茄、茄子、小尖椒、大尖椒、园椒、红椒、青椒等；感官要求：色正，有光泽，表面光滑，饱满有一定硬度及弹性，无腐烂、干尖、皱纹、断裂、于软、泥土整齐，无烂果、异味、病虫和明显机械损伤。</w:t>
      </w:r>
    </w:p>
    <w:p w14:paraId="7EBB031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（7）食用菌类：香菇、平菇等；感官要求：菌身完整、大小均匀，菌盖与柄、菌环相连未展开，根短，无发霉、潮湿、粘手、水浸、杂质、菌盖边缘裂开、盖柄脱离、色黄、黄斑。</w:t>
      </w:r>
    </w:p>
    <w:p w14:paraId="7BA4616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2.安全卫生要求：（1）中华人民共和国食品卫生法（2）中华人民共和国进出口商品检验法及其实施条例（3）中华人民共和国动植物检疫法及其实施条例（4）污染物残留限量指标应符合《食品中污染物的限量》GB 2762-2022要求（5）农药残留限量指标应符合《食品中农药的最大残留限量》GB 2763-2021和《农产品安全质量无公害蔬菜安全要求》GB18406.1-2001的要求（6）定量包装的蔬菜净含量的允许短缺量按《定量包装商品计量监督管理办法》规定（7）其他可能适用于采购文件采购内容的法规及质量标准。</w:t>
      </w:r>
    </w:p>
    <w:p w14:paraId="0C384CB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3.其它说明：以上蔬菜品种为常规采购品种，不排除有采购所列品种之外蔬菜的可能，若采购其他品种蔬菜，需满足采购人实际需求。</w:t>
      </w:r>
    </w:p>
    <w:p w14:paraId="3BF997A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（五）水果类</w:t>
      </w:r>
    </w:p>
    <w:p w14:paraId="7F2A5E5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1.质量要求</w:t>
      </w:r>
    </w:p>
    <w:p w14:paraId="5870E72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符合SB/T 11024-2013 新鲜水果分类与代码、符合GB 2712-2019食品安全国家标准。所供水果新鲜，感官检验、化学检验均符合要求。须保证符合采购人需求的品质。</w:t>
      </w:r>
    </w:p>
    <w:p w14:paraId="2B63634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（2）安全卫生要求：（1）中华人民共和国食品卫生法（2）中华人民共和国进出口商品检验法及其实施条例（3）中华人民共和国动植物检疫法及其实施条例（4) 《GB 2763-2019 食品安全国家标准食品中农药最大残留限量》（5）其他可能适用于本采购文件采购内容的法规及质量标准。</w:t>
      </w:r>
    </w:p>
    <w:p w14:paraId="06FF239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（六）调味品类</w:t>
      </w:r>
    </w:p>
    <w:p w14:paraId="6A83876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1.质量要求</w:t>
      </w:r>
    </w:p>
    <w:p w14:paraId="5959DAC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酱油、盐、鸡精、米醋、酱、料酒、调料、淀粉、酵母、糖等，各项产品符合《GB 2763-2021 食品安全国家标准》及其他相关标准。</w:t>
      </w:r>
    </w:p>
    <w:p w14:paraId="17D0AD2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2.安全卫生要求：（1）中华人民共和国食品卫生法（2）中华人民共和国进出口商品检验法及其实施条例（3）中华人民共和国动植物检疫法及其实施条例（4）《GB 2763-2019 食品安全国家标准食品中农药最大残留限量》（5）其他可能适用于本采购文件采购内容的法规及质量标准</w:t>
      </w:r>
    </w:p>
    <w:p w14:paraId="0955209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（七）干货类</w:t>
      </w:r>
    </w:p>
    <w:p w14:paraId="20E7862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干货类主要包括菌菇、笋干、开洋等干货制品。</w:t>
      </w:r>
    </w:p>
    <w:p w14:paraId="1253AB3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质量要求：外观检验、感官检验、包装检验、产品渠道、有效期的检验均符合要求。所有供货产品不得为隔年陈货。其他可能适用于本采购文件采购内容的法规及质量标准。</w:t>
      </w:r>
    </w:p>
    <w:p w14:paraId="69DBB9F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（八）豆制品类</w:t>
      </w:r>
    </w:p>
    <w:p w14:paraId="747C3CF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质量要求：符合GB 2712-2014 食品安全国家标准豆制品标准。其他可能适用于本采购文件采购内容的法规及质量标准。</w:t>
      </w:r>
    </w:p>
    <w:p w14:paraId="2B914ED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（九）水产类</w:t>
      </w:r>
    </w:p>
    <w:p w14:paraId="5200C6D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水产类采购内容包括：草鱼、鲫鱼、鲈鱼、花蛤、汪刺鱼、白条、黑鱼、蛏子、明虾、白鲢鱼、鳊鱼、鳙鱼等水产类或各类速冻海水产品。</w:t>
      </w:r>
    </w:p>
    <w:p w14:paraId="3A3F87B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1.执行标准及技术要求：鲜活产品在水中游动自如,反应敏捷，无伤残、无畸形、无病害；鳞片完整无损，无皮下出血现象及红色鳞片，速冻海水产品等均符合国家相关标准。</w:t>
      </w:r>
    </w:p>
    <w:p w14:paraId="48994F3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2.鲜活水产质量要求：鲜活，感官检验、化学检验、添加剂检验、有害金属的检验均符合要求。</w:t>
      </w:r>
    </w:p>
    <w:p w14:paraId="1AB998F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3.速冻海水产品等符合国家相关标准。</w:t>
      </w:r>
    </w:p>
    <w:p w14:paraId="0E89317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4.安全卫生要求：（1）中华人民共和国食品卫生法（2）中华人民共和国进出口商品检验法及其实施条例（3）中华人民共和国动植物检疫法及其实施条例（4）中华人民共和国动物防疫法（5）其他可能适用于本采购文件采购内容的法规及质量标准</w:t>
      </w:r>
    </w:p>
    <w:p w14:paraId="728D756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（十）冻货类</w:t>
      </w:r>
    </w:p>
    <w:p w14:paraId="472A4D6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1.冷鲜肉品质量要求：新鲜、冷鲜肉，不注水，肉上有屠宰场经质量检验合格的滚花，提供所供当批次的动物检疫和肉的肉品品质检验合格证。并按采购人要求的分割肉类别按时供应。</w:t>
      </w:r>
    </w:p>
    <w:p w14:paraId="202AC75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2.冻品质量要求：感官检验、化学检验、添加剂检验、有害金属的检验均符合要求。</w:t>
      </w:r>
    </w:p>
    <w:p w14:paraId="4EF401E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3.安全卫生要求：</w:t>
      </w:r>
    </w:p>
    <w:p w14:paraId="53F4A0DF">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中华人民共和国食品卫生法（2）中华人民共和国进出口商品检验法及其实施条例（3）中华人民共和国动植物检疫法及其实施条例（4）中华人民共和国动物防疫法（5）畜肉安全检验指标要求（GB18406.3-2001）、6）鲜畜肉卫生标准（ GB 2707-2016）（7）鲜片猪肉（GB/T 9959.1-2019）（8）分割鲜猪瘦肉（GB 9959.2-2019）（9）《GB 2763-2019 食品安全国家标准食品中农药最大残留限量》（10）其他可能适用于本采购文件采购内容的法规及质量标准</w:t>
      </w:r>
    </w:p>
    <w:p w14:paraId="715C2B7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（十一）大肉类</w:t>
      </w:r>
    </w:p>
    <w:p w14:paraId="0C6888D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1.冷鲜肉品质量要求：新鲜、冷鲜肉，不注水，肉上有屠宰场经质量检验合格的滚花，提供所供当批次的动物检疫和肉的肉品品质检验合格证。并按采购人要求的分割肉类别按时供应。</w:t>
      </w:r>
    </w:p>
    <w:p w14:paraId="75A1288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2.冻品质量要求：感官检验、化学检验、添加剂检验、有害金属的检验均符合要求。</w:t>
      </w:r>
    </w:p>
    <w:p w14:paraId="408F5F5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3.安全卫生要求：（1）中华人民共和国食品卫生法（2）中华人民共和国进出口商品检验法及其实施条例（3）中华人民共和国动植物检疫法及其实施条例（4）中华人民共和国动物防疫法（5) 畜肉安全检验指标要求（GB18406.3-2001）（6) 鲜畜肉卫生标准（ GB 2707-2016）（7）鲜片猪肉（GB/T 9959.1-2019）（8）分割鲜猪瘦肉（GB/T 9959.2-2008）（9）《GB 2763-2019食品安全国家标准食品中农药最大残留限量》（10）其他可能适用于本采购文件采购内容的法规及质量标准。</w:t>
      </w:r>
    </w:p>
    <w:p w14:paraId="6BEBD83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（十二）牛羊肉类</w:t>
      </w:r>
    </w:p>
    <w:p w14:paraId="6283088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1.冷鲜肉品质量要求：新鲜、冷鲜肉，不注水，肉上有屠宰场经质量检验合格的滚花，提供所供当批次的动物检疫和肉的肉品品质检验合格证。并按采购人要求的分割肉类别按时供应。</w:t>
      </w:r>
    </w:p>
    <w:p w14:paraId="061C635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2.冻品质量要求：感官检验、化学检验、添加剂检验、有害金属的检验均符合要求。</w:t>
      </w:r>
    </w:p>
    <w:p w14:paraId="4D69406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3.安全卫生要求：（1）中华人民共和国食品卫生法（2）中华人民共和国进出口商品检验法及其实施条例（3）中华人民共和国动植物检疫法及其实施条例（4）中华人民共和国动物防疫法（5) 畜肉安全检验指标要求（GB18406.3-2001）（6) 鲜畜肉卫生标准（ GB 2707-2016）（7）鲜片猪肉（GB/T 9959.1-2019）（8）分割鲜猪瘦肉(GB/T 9959.2-2008）（9）《GB 2763-2019 食品安全国家标准食品中农药最大残留限量》（10）其他可能适用于本采购文件采购内容的法规及质量标准。</w:t>
      </w:r>
    </w:p>
    <w:p w14:paraId="191B6F7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（十三）禽蛋类：主要是杀白鸡、鸭及蛋与相关禽类冻品。</w:t>
      </w:r>
    </w:p>
    <w:p w14:paraId="572CBA5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（1）质量要求：①符合《冷鲜禽加工经营卫生规范》要求及《鲜、冻禽产品》国家标准（（GB 2707-2016））。②杀白禽类质量要求：新鲜，感官检验、化学检验均符合要求。③冻禽质量标准：产品无变质、无异味、无腐败、无杂质；产品无过保质期；产品非病死禽、畜制品；产品应经检验、检疫合格；产品不得超过国家食品卫生法规规定的指标；所有物资产品需有相关检验、检疫及相关合格证明。禽类肌肉有光泽，红色或暗红色，脂肪白色。畜类体表光泽、肌肉坚实。所有冷冻食品均不得为二次化冰食品。</w:t>
      </w:r>
    </w:p>
    <w:p w14:paraId="2496DD5F">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（2）安全卫生要求：中华人民共和国食品卫生法；中华人民共和国进出口商品检验法及其实施条例；中华人民共和国动植物检疫法及其实施条例；中华人民共和国动物防疫法；《GB 2763-2021 食品安全国家标准食品中农药最大残留限量》；冻禽产品应符合《鲜、冻禽产品》国家标准（GB 2707-2016），其他冻品应符合相应国家标准；其他可能适用于本采购文件采购内容的法规及质量标准</w:t>
      </w:r>
    </w:p>
    <w:p w14:paraId="6E82DBC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2、服务要求：</w:t>
      </w:r>
    </w:p>
    <w:p w14:paraId="06F14D3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（一）供货要求</w:t>
      </w:r>
    </w:p>
    <w:p w14:paraId="409E039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1.供货要求：按照采购人要求指定配送点分批次送货，每批次采购人验收质量及数量并签字。</w:t>
      </w:r>
    </w:p>
    <w:p w14:paraId="2625914F">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2.若供货验收时出现质量问题或菜品不新鲜采购人有权拒签供货单，拒收货物。且在采购人规定的时间重新供货。</w:t>
      </w:r>
    </w:p>
    <w:p w14:paraId="7F5F1CD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（二）包装与质量要求</w:t>
      </w:r>
    </w:p>
    <w:p w14:paraId="25F6048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1.货物包装应完好无破漏，可视的内容物无腐败霉变或影响使用的变型，不存在危及人身、财产安全的不合理危险。</w:t>
      </w:r>
    </w:p>
    <w:p w14:paraId="6324AF8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2.食品包装标签应符合《食品安全国家标准预包装食品标签通则》（GB 7718-2011）要求，包括食品名称、配料表、净含量、规格、制造商（或）经销者的名称、地址和联系方式、生产日期和保质期、贮存条件、食品生产许可证编号、产品标准代号等内容。</w:t>
      </w:r>
    </w:p>
    <w:p w14:paraId="7C34D8C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 被有毒有害物质污染，可能对人体健康有害的物品。</w:t>
      </w:r>
    </w:p>
    <w:p w14:paraId="50A2B31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4.不得提供未经检疫或者检疫不合格的肉类品(含熟制品)、蔬菜制品，对带骨头肉制品按要求切块，须提供当批次《肉类卫生防疫证明》和蔬菜农药残留检测报告供采购人随时抽查。</w:t>
      </w:r>
    </w:p>
    <w:p w14:paraId="6BD83F7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5.不得提供来历不明、不能提供相应产品标签的散装物品。</w:t>
      </w:r>
    </w:p>
    <w:p w14:paraId="07E440D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14:paraId="03F861E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7.如因供应商提供的物资，因质量等问题而使采购人人员发生食物中毒事件的，供应商将承担相应的法律责任。</w:t>
      </w:r>
    </w:p>
    <w:p w14:paraId="614A3FF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（三）运输标准</w:t>
      </w:r>
    </w:p>
    <w:p w14:paraId="37504718">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1.根据食品特点选择适宜的运输工具，必要时应配备保温、冷藏、冷冻、保鲜、保湿等设施。</w:t>
      </w:r>
    </w:p>
    <w:p w14:paraId="718EBA2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2.运输前，应对运输工具和盛装食品的容器进行清洁，必要时还应进行消毒，防止食品受到污染。</w:t>
      </w:r>
    </w:p>
    <w:p w14:paraId="1269851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3.运输中，应防止食品包装破损，保持食品包装完整，避免食品受到日光直射、雨淋和剧烈撞击等。运输过程应符合保证食品安全所需的温度、湿度等特殊要求。</w:t>
      </w:r>
    </w:p>
    <w:p w14:paraId="1A6E29D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4.食品与食品用洗涤剂、消毒剂等非食品同车运输，或者食品原料、半成品、成品同车运输时，应进行分隔。</w:t>
      </w:r>
    </w:p>
    <w:p w14:paraId="47C1A8F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5.不应将食品与杀虫剂、杀鼠剂、醇基燃料等有毒、有害物品混装运输。运输食品和有毒、有害物品的车辆不应混用。</w:t>
      </w:r>
    </w:p>
    <w:p w14:paraId="13E3C2F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（四）验收方式：</w:t>
      </w:r>
    </w:p>
    <w:p w14:paraId="3A1F0AF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供应商将货物按要求送到采购人指定地点后，提供本批次货物的货物清单（含货物种类、数量、价格）。</w:t>
      </w:r>
    </w:p>
    <w:p w14:paraId="541EF88A">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（五）售后要求</w:t>
      </w:r>
    </w:p>
    <w:p w14:paraId="75EB1932">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1.供应商提供的产品若出现不合格产品或在运输途中出现破损的，应在接到采购人通知12小时内响应，48小时内完成退换货工作；</w:t>
      </w:r>
    </w:p>
    <w:p w14:paraId="3BF3B13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2.鲜活物品保证在送达指定地点后依旧新鲜</w:t>
      </w:r>
    </w:p>
    <w:p w14:paraId="6A618FD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（六）其他要求</w:t>
      </w:r>
    </w:p>
    <w:p w14:paraId="49ACE69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1.供应商提供的产品必须是通过正规渠道采购。</w:t>
      </w:r>
    </w:p>
    <w:p w14:paraId="45BA8F91">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2.供应商根据职工食堂提供的所供食材的品牌、规格、大小、品种、数量、质量的要求准时向采购人提供配送服务；</w:t>
      </w:r>
    </w:p>
    <w:p w14:paraId="3CF6306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3.供应商自备送货车，安排专人及时供货，装卸费、送货费用及运输安全由供货方承担；</w:t>
      </w:r>
    </w:p>
    <w:p w14:paraId="079CAAE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4.特殊情况下，职工食堂需要的小批量的急用物资，供货方应予以满足解决；</w:t>
      </w:r>
    </w:p>
    <w:p w14:paraId="6EA245E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5.所有食材供应商必须按照采购人要求的种类、规格进行供货，满足采购人使用需求。所有食材采购及配送时间均以采购人通知为准，采购人有权根据实际需求量随时调整采购计划及供货时间段。</w:t>
      </w:r>
    </w:p>
    <w:p w14:paraId="3C71BA7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6. 参照价格以西安市一级批发市场的同级别产品零售价为准。配送价格以按实际发生的量进行据实结算。</w:t>
      </w:r>
    </w:p>
    <w:p w14:paraId="7BDA326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val="en-US" w:eastAsia="zh-Hans"/>
        </w:rPr>
        <w:t>7.如遇法律法规、标准等对同一问题的处理出现歧义或不一致时，一律就高不就低。上述所有标准、规范均由供应商自备，采购人不另行提供。遇国家修改标准，自新标准施行之日超采用新标准。</w:t>
      </w:r>
    </w:p>
    <w:p w14:paraId="508B73ED">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sz w:val="24"/>
          <w:szCs w:val="24"/>
          <w:lang w:val="en-US" w:eastAsia="zh-Hans"/>
        </w:rPr>
      </w:pPr>
    </w:p>
    <w:p w14:paraId="3CEA4BF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zh-Hans"/>
        </w:rPr>
        <w:t>注：凡涉及国家或行业相关标准的以最新标准为准，所有食材均须符合《中华人民共和国食品卫生法》、《动物检疫法》、《食品安全国家标准食品添加剂使用标准》（GB2760-2014）等相关规定。</w:t>
      </w:r>
    </w:p>
    <w:p w14:paraId="3149BA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二</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服务</w:t>
      </w:r>
      <w:r>
        <w:rPr>
          <w:rFonts w:hint="eastAsia" w:ascii="宋体" w:hAnsi="宋体" w:eastAsia="宋体" w:cs="宋体"/>
          <w:b/>
          <w:bCs/>
          <w:color w:val="auto"/>
          <w:kern w:val="0"/>
          <w:sz w:val="24"/>
          <w:szCs w:val="24"/>
          <w:highlight w:val="none"/>
          <w:lang w:val="en-US" w:eastAsia="zh-CN"/>
        </w:rPr>
        <w:t>期</w:t>
      </w:r>
    </w:p>
    <w:p w14:paraId="325FB9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日至</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日。</w:t>
      </w:r>
    </w:p>
    <w:p w14:paraId="13B3ED8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三</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结款</w:t>
      </w:r>
      <w:r>
        <w:rPr>
          <w:rFonts w:hint="eastAsia" w:ascii="宋体" w:hAnsi="宋体" w:eastAsia="宋体" w:cs="宋体"/>
          <w:b/>
          <w:bCs/>
          <w:color w:val="auto"/>
          <w:kern w:val="0"/>
          <w:sz w:val="24"/>
          <w:szCs w:val="24"/>
          <w:highlight w:val="none"/>
          <w:lang w:val="en-US" w:eastAsia="zh-CN"/>
        </w:rPr>
        <w:t>金额和付款</w:t>
      </w:r>
      <w:r>
        <w:rPr>
          <w:rFonts w:hint="eastAsia" w:ascii="宋体" w:hAnsi="宋体" w:eastAsia="宋体" w:cs="宋体"/>
          <w:b/>
          <w:bCs/>
          <w:color w:val="auto"/>
          <w:kern w:val="0"/>
          <w:sz w:val="24"/>
          <w:szCs w:val="24"/>
          <w:highlight w:val="none"/>
        </w:rPr>
        <w:t>方式</w:t>
      </w:r>
    </w:p>
    <w:p w14:paraId="58EB761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（一）合同金额</w:t>
      </w:r>
    </w:p>
    <w:p w14:paraId="57B7F7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1、合同下浮率：</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val="en-US" w:eastAsia="zh-CN"/>
        </w:rPr>
        <w:t>%。具体款项以实际发生费用为准，根据最终确定的（1-下浮率）*单价*数量确定，但不得超出财政局审批的采购预算。</w:t>
      </w:r>
    </w:p>
    <w:p w14:paraId="7B7CD0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2、中标优惠率一次性包死，不受市场价格变化因素的影响,包括但不限于本项目的服务实施费用、人员工资、交通费、管理费、利润、风险、各种税金等所有成本，项目履约完成后结算总额不得超过合同总价款。</w:t>
      </w:r>
    </w:p>
    <w:p w14:paraId="447636DD">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3、定价机制：配送单价以欣桥市场、方欣市场、朱雀批发市场的价格取平均值作为配送单价，乙方市场询价后首先经甲方审核确认市场价，再取平均值后经甲方确认后采购。</w:t>
      </w:r>
    </w:p>
    <w:p w14:paraId="3668BE8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（二）付款方式</w:t>
      </w:r>
    </w:p>
    <w:p w14:paraId="32AC2D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1、付款前，供应商必须开具全额发票给采购人（附详细供货清单）。</w:t>
      </w:r>
    </w:p>
    <w:p w14:paraId="52AEC6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供应商应按照采购人要求，每天配送到配送至采购人指定地点，经采购人验收合格后，供应商提供所供货物清单，采购人对所供货物的价格进行核实（按各大菜场平均价格*（1-下浮率）核定结算价格），经核实无误后在供货单上签字确认。结算时按采购人签字确认的供货单据实结算。</w:t>
      </w:r>
    </w:p>
    <w:p w14:paraId="2592F9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ascii="宋体" w:hAnsi="宋体" w:eastAsia="宋体" w:cs="宋体"/>
          <w:color w:val="auto"/>
          <w:kern w:val="0"/>
          <w:sz w:val="24"/>
          <w:szCs w:val="24"/>
          <w:highlight w:val="none"/>
        </w:rPr>
        <w:t>按月</w:t>
      </w:r>
      <w:r>
        <w:rPr>
          <w:rFonts w:hint="eastAsia" w:ascii="宋体" w:hAnsi="宋体" w:eastAsia="宋体" w:cs="宋体"/>
          <w:color w:val="auto"/>
          <w:kern w:val="0"/>
          <w:sz w:val="24"/>
          <w:szCs w:val="24"/>
          <w:highlight w:val="none"/>
          <w:lang w:val="en-US" w:eastAsia="zh-CN"/>
        </w:rPr>
        <w:t>根据供货单据实</w:t>
      </w:r>
      <w:r>
        <w:rPr>
          <w:rFonts w:ascii="宋体" w:hAnsi="宋体" w:eastAsia="宋体" w:cs="宋体"/>
          <w:color w:val="auto"/>
          <w:kern w:val="0"/>
          <w:sz w:val="24"/>
          <w:szCs w:val="24"/>
          <w:highlight w:val="none"/>
        </w:rPr>
        <w:t>结</w:t>
      </w:r>
      <w:r>
        <w:rPr>
          <w:rFonts w:hint="eastAsia" w:ascii="宋体" w:hAnsi="宋体" w:eastAsia="宋体" w:cs="宋体"/>
          <w:color w:val="auto"/>
          <w:kern w:val="0"/>
          <w:sz w:val="24"/>
          <w:szCs w:val="24"/>
          <w:highlight w:val="none"/>
          <w:lang w:val="en-US" w:eastAsia="zh-CN"/>
        </w:rPr>
        <w:t>算</w:t>
      </w:r>
      <w:r>
        <w:rPr>
          <w:rFonts w:ascii="宋体" w:hAnsi="宋体" w:eastAsia="宋体" w:cs="宋体"/>
          <w:color w:val="auto"/>
          <w:kern w:val="0"/>
          <w:sz w:val="24"/>
          <w:szCs w:val="24"/>
          <w:highlight w:val="none"/>
        </w:rPr>
        <w:t>，乙方提供税务发票后甲方办</w:t>
      </w:r>
      <w:r>
        <w:rPr>
          <w:rFonts w:hint="eastAsia" w:ascii="宋体" w:hAnsi="宋体" w:eastAsia="宋体" w:cs="宋体"/>
          <w:color w:val="auto"/>
          <w:kern w:val="0"/>
          <w:sz w:val="24"/>
          <w:szCs w:val="24"/>
          <w:highlight w:val="none"/>
        </w:rPr>
        <w:t>理</w:t>
      </w:r>
      <w:r>
        <w:rPr>
          <w:rFonts w:hint="eastAsia" w:ascii="宋体" w:hAnsi="宋体" w:eastAsia="宋体" w:cs="宋体"/>
          <w:color w:val="auto"/>
          <w:kern w:val="0"/>
          <w:sz w:val="24"/>
          <w:szCs w:val="24"/>
          <w:highlight w:val="none"/>
          <w:lang w:val="en-US" w:eastAsia="zh-CN"/>
        </w:rPr>
        <w:t>付款</w:t>
      </w:r>
      <w:r>
        <w:rPr>
          <w:rFonts w:hint="eastAsia" w:ascii="宋体" w:hAnsi="宋体" w:eastAsia="宋体" w:cs="宋体"/>
          <w:color w:val="auto"/>
          <w:kern w:val="0"/>
          <w:sz w:val="24"/>
          <w:szCs w:val="24"/>
          <w:highlight w:val="none"/>
        </w:rPr>
        <w:t>手续，最终</w:t>
      </w:r>
      <w:r>
        <w:rPr>
          <w:rFonts w:hint="eastAsia" w:ascii="宋体" w:hAnsi="宋体" w:eastAsia="宋体" w:cs="宋体"/>
          <w:color w:val="auto"/>
          <w:kern w:val="0"/>
          <w:sz w:val="24"/>
          <w:szCs w:val="24"/>
          <w:highlight w:val="none"/>
          <w:lang w:val="en-US" w:eastAsia="zh-CN"/>
        </w:rPr>
        <w:t>付款金额</w:t>
      </w:r>
      <w:r>
        <w:rPr>
          <w:rFonts w:hint="eastAsia" w:ascii="宋体" w:hAnsi="宋体" w:eastAsia="宋体" w:cs="宋体"/>
          <w:color w:val="auto"/>
          <w:kern w:val="0"/>
          <w:sz w:val="24"/>
          <w:szCs w:val="24"/>
          <w:highlight w:val="none"/>
        </w:rPr>
        <w:t>以甲乙双方签字确认的食材供货清单为依据。</w:t>
      </w:r>
    </w:p>
    <w:p w14:paraId="610D61E4">
      <w:pPr>
        <w:keepNext w:val="0"/>
        <w:keepLines w:val="0"/>
        <w:pageBreakBefore w:val="0"/>
        <w:widowControl w:val="0"/>
        <w:tabs>
          <w:tab w:val="left" w:pos="312"/>
        </w:tabs>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乙方开户行信息：</w:t>
      </w:r>
      <w:r>
        <w:rPr>
          <w:rFonts w:hint="eastAsia" w:ascii="宋体" w:hAnsi="宋体" w:eastAsia="宋体" w:cs="宋体"/>
          <w:color w:val="auto"/>
          <w:kern w:val="0"/>
          <w:sz w:val="24"/>
          <w:szCs w:val="24"/>
          <w:highlight w:val="none"/>
          <w:u w:val="single"/>
        </w:rPr>
        <w:t xml:space="preserve">                     </w:t>
      </w:r>
    </w:p>
    <w:p w14:paraId="5DC9096D">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开户行名称：</w:t>
      </w:r>
      <w:r>
        <w:rPr>
          <w:rFonts w:hint="eastAsia" w:ascii="宋体" w:hAnsi="宋体" w:eastAsia="宋体" w:cs="宋体"/>
          <w:color w:val="auto"/>
          <w:kern w:val="0"/>
          <w:sz w:val="24"/>
          <w:szCs w:val="24"/>
          <w:highlight w:val="none"/>
          <w:u w:val="single"/>
        </w:rPr>
        <w:t xml:space="preserve">                           </w:t>
      </w:r>
    </w:p>
    <w:p w14:paraId="49324B06">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账      号</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67670A10">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zh-CN"/>
        </w:rPr>
        <w:t>四</w:t>
      </w:r>
      <w:r>
        <w:rPr>
          <w:rFonts w:hint="eastAsia" w:ascii="宋体" w:hAnsi="宋体" w:eastAsia="宋体" w:cs="宋体"/>
          <w:b/>
          <w:bCs/>
          <w:color w:val="000000"/>
          <w:sz w:val="24"/>
          <w:szCs w:val="24"/>
          <w:lang w:val="en-US" w:eastAsia="en-US"/>
        </w:rPr>
        <w:t>、违约责任</w:t>
      </w:r>
    </w:p>
    <w:p w14:paraId="780475CA">
      <w:pPr>
        <w:widowControl/>
        <w:kinsoku w:val="0"/>
        <w:autoSpaceDE w:val="0"/>
        <w:autoSpaceDN w:val="0"/>
        <w:adjustRightInd w:val="0"/>
        <w:snapToGrid w:val="0"/>
        <w:spacing w:before="183" w:line="465" w:lineRule="exact"/>
        <w:ind w:right="8"/>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1"/>
          <w:kern w:val="0"/>
          <w:position w:val="17"/>
          <w:sz w:val="24"/>
          <w:szCs w:val="24"/>
          <w:lang w:eastAsia="en-US"/>
        </w:rPr>
        <w:t>1、甲乙双方如因为其他原因要解除合约，应提前一个月通知对方，如有一方违反</w:t>
      </w:r>
    </w:p>
    <w:p w14:paraId="34538856">
      <w:pPr>
        <w:widowControl/>
        <w:kinsoku w:val="0"/>
        <w:autoSpaceDE w:val="0"/>
        <w:autoSpaceDN w:val="0"/>
        <w:adjustRightInd w:val="0"/>
        <w:snapToGrid w:val="0"/>
        <w:spacing w:before="1" w:line="219" w:lineRule="auto"/>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kern w:val="0"/>
          <w:sz w:val="24"/>
          <w:szCs w:val="24"/>
          <w:lang w:eastAsia="en-US"/>
        </w:rPr>
        <w:t>将补偿对方一个月服务费，同时按照相关法律</w:t>
      </w:r>
      <w:r>
        <w:rPr>
          <w:rFonts w:hint="eastAsia" w:ascii="宋体" w:hAnsi="宋体" w:eastAsia="宋体" w:cs="宋体"/>
          <w:b w:val="0"/>
          <w:bCs w:val="0"/>
          <w:snapToGrid w:val="0"/>
          <w:color w:val="000000"/>
          <w:spacing w:val="-1"/>
          <w:kern w:val="0"/>
          <w:sz w:val="24"/>
          <w:szCs w:val="24"/>
          <w:lang w:eastAsia="en-US"/>
        </w:rPr>
        <w:t>法规承担相应处罚。</w:t>
      </w:r>
    </w:p>
    <w:p w14:paraId="0D204500">
      <w:pPr>
        <w:widowControl/>
        <w:kinsoku w:val="0"/>
        <w:autoSpaceDE w:val="0"/>
        <w:autoSpaceDN w:val="0"/>
        <w:adjustRightInd w:val="0"/>
        <w:snapToGrid w:val="0"/>
        <w:spacing w:before="182" w:line="466" w:lineRule="exact"/>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position w:val="17"/>
          <w:sz w:val="24"/>
          <w:szCs w:val="24"/>
          <w:lang w:eastAsia="en-US"/>
        </w:rPr>
        <w:t>2、乙方不认真履行合同条款或因其它理由突然终</w:t>
      </w:r>
      <w:r>
        <w:rPr>
          <w:rFonts w:hint="eastAsia" w:ascii="宋体" w:hAnsi="宋体" w:eastAsia="宋体" w:cs="宋体"/>
          <w:b w:val="0"/>
          <w:bCs w:val="0"/>
          <w:snapToGrid w:val="0"/>
          <w:color w:val="000000"/>
          <w:spacing w:val="1"/>
          <w:kern w:val="0"/>
          <w:position w:val="17"/>
          <w:sz w:val="24"/>
          <w:szCs w:val="24"/>
          <w:lang w:eastAsia="en-US"/>
        </w:rPr>
        <w:t>止合同，视为乙方单方违约，甲</w:t>
      </w:r>
    </w:p>
    <w:p w14:paraId="0056A1FA">
      <w:pPr>
        <w:widowControl/>
        <w:kinsoku w:val="0"/>
        <w:autoSpaceDE w:val="0"/>
        <w:autoSpaceDN w:val="0"/>
        <w:adjustRightInd w:val="0"/>
        <w:snapToGrid w:val="0"/>
        <w:spacing w:before="1" w:line="219" w:lineRule="auto"/>
        <w:ind w:left="2"/>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1"/>
          <w:kern w:val="0"/>
          <w:sz w:val="24"/>
          <w:szCs w:val="24"/>
          <w:lang w:eastAsia="en-US"/>
        </w:rPr>
        <w:t>方即废除同乙方合同，乙方须赔偿甲方当月服务费。</w:t>
      </w:r>
    </w:p>
    <w:p w14:paraId="661EDE20">
      <w:pPr>
        <w:widowControl/>
        <w:kinsoku w:val="0"/>
        <w:autoSpaceDE w:val="0"/>
        <w:autoSpaceDN w:val="0"/>
        <w:adjustRightInd w:val="0"/>
        <w:snapToGrid w:val="0"/>
        <w:spacing w:before="182" w:line="466" w:lineRule="exact"/>
        <w:ind w:right="8"/>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position w:val="17"/>
          <w:sz w:val="24"/>
          <w:szCs w:val="24"/>
          <w:lang w:eastAsia="en-US"/>
        </w:rPr>
        <w:t>3、甲方无正当理由拒付乙方服务费或无故拖</w:t>
      </w:r>
      <w:r>
        <w:rPr>
          <w:rFonts w:hint="eastAsia" w:ascii="宋体" w:hAnsi="宋体" w:eastAsia="宋体" w:cs="宋体"/>
          <w:b w:val="0"/>
          <w:bCs w:val="0"/>
          <w:snapToGrid w:val="0"/>
          <w:color w:val="000000"/>
          <w:spacing w:val="1"/>
          <w:kern w:val="0"/>
          <w:position w:val="17"/>
          <w:sz w:val="24"/>
          <w:szCs w:val="24"/>
          <w:lang w:eastAsia="en-US"/>
        </w:rPr>
        <w:t>欠服务费一个月以上时，乙方有权单</w:t>
      </w:r>
    </w:p>
    <w:p w14:paraId="5DC9A6AB">
      <w:pPr>
        <w:widowControl/>
        <w:kinsoku w:val="0"/>
        <w:autoSpaceDE w:val="0"/>
        <w:autoSpaceDN w:val="0"/>
        <w:adjustRightInd w:val="0"/>
        <w:snapToGrid w:val="0"/>
        <w:spacing w:line="219" w:lineRule="auto"/>
        <w:ind w:left="2"/>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1"/>
          <w:kern w:val="0"/>
          <w:sz w:val="24"/>
          <w:szCs w:val="24"/>
          <w:lang w:eastAsia="en-US"/>
        </w:rPr>
        <w:t>方解除合同并撤回派驻人员。甲方须承担追加一个月服务费违约金。</w:t>
      </w:r>
    </w:p>
    <w:p w14:paraId="72D6042B">
      <w:pPr>
        <w:widowControl/>
        <w:kinsoku w:val="0"/>
        <w:autoSpaceDE w:val="0"/>
        <w:autoSpaceDN w:val="0"/>
        <w:adjustRightInd w:val="0"/>
        <w:snapToGrid w:val="0"/>
        <w:spacing w:before="183" w:line="359" w:lineRule="auto"/>
        <w:ind w:left="1" w:right="8" w:firstLine="479"/>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sz w:val="24"/>
          <w:szCs w:val="24"/>
          <w:lang w:eastAsia="en-US"/>
        </w:rPr>
        <w:t>4、乙方在工作中故意或疏忽而出现的责任事故因乙方原因</w:t>
      </w:r>
      <w:r>
        <w:rPr>
          <w:rFonts w:hint="eastAsia" w:ascii="宋体" w:hAnsi="宋体" w:eastAsia="宋体" w:cs="宋体"/>
          <w:b w:val="0"/>
          <w:bCs w:val="0"/>
          <w:snapToGrid w:val="0"/>
          <w:color w:val="000000"/>
          <w:spacing w:val="1"/>
          <w:kern w:val="0"/>
          <w:sz w:val="24"/>
          <w:szCs w:val="24"/>
          <w:lang w:eastAsia="en-US"/>
        </w:rPr>
        <w:t>造成他人人身伤害、财</w:t>
      </w:r>
      <w:r>
        <w:rPr>
          <w:rFonts w:hint="eastAsia" w:ascii="宋体" w:hAnsi="宋体" w:eastAsia="宋体" w:cs="宋体"/>
          <w:b w:val="0"/>
          <w:bCs w:val="0"/>
          <w:snapToGrid w:val="0"/>
          <w:color w:val="000000"/>
          <w:spacing w:val="-2"/>
          <w:kern w:val="0"/>
          <w:sz w:val="24"/>
          <w:szCs w:val="24"/>
          <w:lang w:eastAsia="en-US"/>
        </w:rPr>
        <w:t>产损失及严重损失甲方声誉的，每出现一次，乙方除承担相关赔偿责任，甲方有权单方面解除本合同。</w:t>
      </w:r>
    </w:p>
    <w:p w14:paraId="106C9409">
      <w:pPr>
        <w:widowControl/>
        <w:kinsoku w:val="0"/>
        <w:autoSpaceDE w:val="0"/>
        <w:autoSpaceDN w:val="0"/>
        <w:adjustRightInd w:val="0"/>
        <w:snapToGrid w:val="0"/>
        <w:spacing w:before="184" w:line="466" w:lineRule="exact"/>
        <w:ind w:right="6"/>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2"/>
          <w:kern w:val="0"/>
          <w:position w:val="17"/>
          <w:sz w:val="24"/>
          <w:szCs w:val="24"/>
          <w:lang w:eastAsia="en-US"/>
        </w:rPr>
        <w:t>5、乙方人员违反合同所约定之义务，影响合同约定</w:t>
      </w:r>
      <w:r>
        <w:rPr>
          <w:rFonts w:hint="eastAsia" w:ascii="宋体" w:hAnsi="宋体" w:eastAsia="宋体" w:cs="宋体"/>
          <w:b w:val="0"/>
          <w:bCs w:val="0"/>
          <w:snapToGrid w:val="0"/>
          <w:color w:val="000000"/>
          <w:spacing w:val="1"/>
          <w:kern w:val="0"/>
          <w:position w:val="17"/>
          <w:sz w:val="24"/>
          <w:szCs w:val="24"/>
          <w:lang w:eastAsia="en-US"/>
        </w:rPr>
        <w:t>区域的安全或导致甲方其他方</w:t>
      </w:r>
    </w:p>
    <w:p w14:paraId="365E6E1C">
      <w:pPr>
        <w:widowControl/>
        <w:kinsoku w:val="0"/>
        <w:autoSpaceDE w:val="0"/>
        <w:autoSpaceDN w:val="0"/>
        <w:adjustRightInd w:val="0"/>
        <w:snapToGrid w:val="0"/>
        <w:spacing w:before="1" w:line="360" w:lineRule="auto"/>
        <w:jc w:val="righ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spacing w:val="-1"/>
          <w:kern w:val="0"/>
          <w:sz w:val="24"/>
          <w:szCs w:val="24"/>
          <w:lang w:eastAsia="en-US"/>
        </w:rPr>
        <w:t>面损害，经甲方书面警告仍无整改，甲方有权单方面终</w:t>
      </w:r>
      <w:r>
        <w:rPr>
          <w:rFonts w:hint="eastAsia" w:ascii="宋体" w:hAnsi="宋体" w:eastAsia="宋体" w:cs="宋体"/>
          <w:b w:val="0"/>
          <w:bCs w:val="0"/>
          <w:snapToGrid w:val="0"/>
          <w:color w:val="000000"/>
          <w:spacing w:val="-2"/>
          <w:kern w:val="0"/>
          <w:sz w:val="24"/>
          <w:szCs w:val="24"/>
          <w:lang w:eastAsia="en-US"/>
        </w:rPr>
        <w:t>止合同，而无须承担任何责任。</w:t>
      </w:r>
    </w:p>
    <w:p w14:paraId="3743317D">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五、不可抗力</w:t>
      </w:r>
    </w:p>
    <w:p w14:paraId="1E130BA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如果合同任何一方因战争、火灾、洪水、台风、地震和其他不可抗力原因,影响了合同的履行，则可根据受影响的程度顺延合同履行期限，这一期限应相当于事故所影响的时间、并可根据情况部分或者全部免于承担违约责任。但若一方违约在先，不得以此后发生不可抗力为由免除其违约责任。</w:t>
      </w:r>
    </w:p>
    <w:p w14:paraId="1B5A45C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2、受不可抗力影响的一方应在事件发生后，立即通知对方，并在十日内以书面方式向对方提供该不可抗力事件的证明文件(如政府公告、新闻报道等)，并应于不可抗力事件结束后，立即恢复对本合同的履行。</w:t>
      </w:r>
    </w:p>
    <w:p w14:paraId="6B4DCBEB">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3、如果不可抗力事件后果影响本合同执行超过180天,双方则就未来合同的履行另行商议。</w:t>
      </w:r>
    </w:p>
    <w:p w14:paraId="7E655413">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六、合同争议的解决</w:t>
      </w:r>
    </w:p>
    <w:p w14:paraId="7CB69A89">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val="en-US" w:eastAsia="en-US"/>
        </w:rPr>
        <w:t>合同一经签订，不得随意变更、中止或终止。对确需变更、调整或者中止、终止合同的，应按规定履行相应的手续。</w:t>
      </w:r>
    </w:p>
    <w:p w14:paraId="3F2AE7F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val="en-US" w:eastAsia="en-US"/>
        </w:rPr>
        <w:t>合同执行中发生争议的，甲、乙双方应协商解决，协商达不成一致时，可向甲方所在地人民法院提请诉讼。</w:t>
      </w:r>
    </w:p>
    <w:p w14:paraId="486A7B56">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sz w:val="24"/>
          <w:szCs w:val="24"/>
          <w:lang w:val="en-US" w:eastAsia="en-US"/>
        </w:rPr>
      </w:pPr>
      <w:r>
        <w:rPr>
          <w:rFonts w:hint="eastAsia" w:ascii="宋体" w:hAnsi="宋体" w:eastAsia="宋体" w:cs="宋体"/>
          <w:b/>
          <w:bCs/>
          <w:color w:val="000000"/>
          <w:sz w:val="24"/>
          <w:szCs w:val="24"/>
          <w:lang w:val="en-US" w:eastAsia="en-US"/>
        </w:rPr>
        <w:t>七、其它事项</w:t>
      </w:r>
    </w:p>
    <w:p w14:paraId="6E965B74">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color w:val="000000"/>
          <w:sz w:val="24"/>
          <w:szCs w:val="24"/>
          <w:lang w:val="en-US" w:eastAsia="en-US"/>
        </w:rPr>
        <w:t>1、甲、乙双方作为合同执行的主体，有义务及时完全履行合同。</w:t>
      </w:r>
    </w:p>
    <w:p w14:paraId="600B00D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color w:val="000000"/>
          <w:sz w:val="24"/>
          <w:szCs w:val="24"/>
          <w:lang w:val="en-US" w:eastAsia="en-US"/>
        </w:rPr>
        <w:t>2、合同未尽事宜，由甲、乙双方协商签订补充协议，作为本合同不可分割的组成</w:t>
      </w:r>
    </w:p>
    <w:p w14:paraId="30EEE6E9">
      <w:pPr>
        <w:keepNext w:val="0"/>
        <w:keepLines w:val="0"/>
        <w:pageBreakBefore w:val="0"/>
        <w:widowControl w:val="0"/>
        <w:kinsoku/>
        <w:wordWrap w:val="0"/>
        <w:overflowPunct/>
        <w:topLinePunct w:val="0"/>
        <w:autoSpaceDE/>
        <w:autoSpaceDN/>
        <w:bidi w:val="0"/>
        <w:adjustRightInd/>
        <w:snapToGrid w:val="0"/>
        <w:spacing w:line="360" w:lineRule="auto"/>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color w:val="000000"/>
          <w:sz w:val="24"/>
          <w:szCs w:val="24"/>
          <w:lang w:val="en-US" w:eastAsia="en-US"/>
        </w:rPr>
        <w:t>部分，与本合同具有同等法律效力。</w:t>
      </w:r>
    </w:p>
    <w:p w14:paraId="583071D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color w:val="000000"/>
          <w:sz w:val="24"/>
          <w:szCs w:val="24"/>
          <w:lang w:val="en-US" w:eastAsia="en-US"/>
        </w:rPr>
        <w:t>3、磋商文件和乙方的磋商响应文件以及合同附件均为合同不可分割的部分。</w:t>
      </w:r>
    </w:p>
    <w:p w14:paraId="6D6B940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color w:val="000000"/>
          <w:sz w:val="24"/>
          <w:szCs w:val="24"/>
          <w:lang w:val="en-US" w:eastAsia="en-US"/>
        </w:rPr>
        <w:t>4、合同一式</w:t>
      </w:r>
      <w:r>
        <w:rPr>
          <w:rFonts w:hint="eastAsia" w:ascii="宋体" w:hAnsi="宋体" w:eastAsia="宋体" w:cs="宋体"/>
          <w:color w:val="000000"/>
          <w:sz w:val="24"/>
          <w:szCs w:val="24"/>
          <w:u w:val="single"/>
          <w:lang w:val="en-US" w:eastAsia="en-US"/>
        </w:rPr>
        <w:t xml:space="preserve">     </w:t>
      </w:r>
      <w:r>
        <w:rPr>
          <w:rFonts w:hint="eastAsia" w:ascii="宋体" w:hAnsi="宋体" w:eastAsia="宋体" w:cs="宋体"/>
          <w:color w:val="000000"/>
          <w:sz w:val="24"/>
          <w:szCs w:val="24"/>
          <w:lang w:val="en-US" w:eastAsia="en-US"/>
        </w:rPr>
        <w:t>份，甲方持</w:t>
      </w:r>
      <w:r>
        <w:rPr>
          <w:rFonts w:hint="eastAsia" w:ascii="宋体" w:hAnsi="宋体" w:eastAsia="宋体" w:cs="宋体"/>
          <w:color w:val="000000"/>
          <w:sz w:val="24"/>
          <w:szCs w:val="24"/>
          <w:u w:val="single"/>
          <w:lang w:val="en-US" w:eastAsia="en-US"/>
        </w:rPr>
        <w:t xml:space="preserve">    </w:t>
      </w:r>
      <w:r>
        <w:rPr>
          <w:rFonts w:hint="eastAsia" w:ascii="宋体" w:hAnsi="宋体" w:eastAsia="宋体" w:cs="宋体"/>
          <w:color w:val="000000"/>
          <w:sz w:val="24"/>
          <w:szCs w:val="24"/>
          <w:lang w:val="en-US" w:eastAsia="en-US"/>
        </w:rPr>
        <w:t>份、乙方执</w:t>
      </w:r>
      <w:r>
        <w:rPr>
          <w:rFonts w:hint="eastAsia" w:ascii="宋体" w:hAnsi="宋体" w:eastAsia="宋体" w:cs="宋体"/>
          <w:color w:val="000000"/>
          <w:sz w:val="24"/>
          <w:szCs w:val="24"/>
          <w:u w:val="single"/>
          <w:lang w:val="en-US" w:eastAsia="en-US"/>
        </w:rPr>
        <w:t xml:space="preserve">     </w:t>
      </w:r>
      <w:r>
        <w:rPr>
          <w:rFonts w:hint="eastAsia" w:ascii="宋体" w:hAnsi="宋体" w:eastAsia="宋体" w:cs="宋体"/>
          <w:color w:val="000000"/>
          <w:sz w:val="24"/>
          <w:szCs w:val="24"/>
          <w:lang w:val="en-US" w:eastAsia="en-US"/>
        </w:rPr>
        <w:t>份。双方签字盖章后生效，合同执行完毕自动失效。</w:t>
      </w:r>
    </w:p>
    <w:p w14:paraId="02CBF065">
      <w:pPr>
        <w:widowControl/>
        <w:kinsoku w:val="0"/>
        <w:autoSpaceDE w:val="0"/>
        <w:autoSpaceDN w:val="0"/>
        <w:adjustRightInd w:val="0"/>
        <w:snapToGrid w:val="0"/>
        <w:spacing w:line="148" w:lineRule="exact"/>
        <w:jc w:val="left"/>
        <w:textAlignment w:val="baseline"/>
        <w:rPr>
          <w:rFonts w:hint="eastAsia" w:ascii="宋体" w:hAnsi="宋体" w:eastAsia="宋体" w:cs="宋体"/>
          <w:b w:val="0"/>
          <w:bCs w:val="0"/>
          <w:snapToGrid w:val="0"/>
          <w:color w:val="000000"/>
          <w:kern w:val="0"/>
          <w:sz w:val="21"/>
          <w:szCs w:val="21"/>
          <w:lang w:eastAsia="en-US"/>
        </w:rPr>
      </w:pPr>
    </w:p>
    <w:tbl>
      <w:tblPr>
        <w:tblStyle w:val="3"/>
        <w:tblW w:w="0" w:type="auto"/>
        <w:jc w:val="center"/>
        <w:tblLayout w:type="fixed"/>
        <w:tblCellMar>
          <w:top w:w="0" w:type="dxa"/>
          <w:left w:w="108" w:type="dxa"/>
          <w:bottom w:w="0" w:type="dxa"/>
          <w:right w:w="108" w:type="dxa"/>
        </w:tblCellMar>
      </w:tblPr>
      <w:tblGrid>
        <w:gridCol w:w="4201"/>
        <w:gridCol w:w="4202"/>
      </w:tblGrid>
      <w:tr w14:paraId="64AA1384">
        <w:tblPrEx>
          <w:tblCellMar>
            <w:top w:w="0" w:type="dxa"/>
            <w:left w:w="108" w:type="dxa"/>
            <w:bottom w:w="0" w:type="dxa"/>
            <w:right w:w="108" w:type="dxa"/>
          </w:tblCellMar>
        </w:tblPrEx>
        <w:trPr>
          <w:trHeight w:val="567" w:hRule="exact"/>
          <w:jc w:val="center"/>
        </w:trPr>
        <w:tc>
          <w:tcPr>
            <w:tcW w:w="4201" w:type="dxa"/>
            <w:vAlign w:val="center"/>
          </w:tcPr>
          <w:p w14:paraId="530CDFF3">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甲  方</w:t>
            </w:r>
          </w:p>
        </w:tc>
        <w:tc>
          <w:tcPr>
            <w:tcW w:w="4202" w:type="dxa"/>
            <w:vAlign w:val="center"/>
          </w:tcPr>
          <w:p w14:paraId="5F5327F6">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乙  方</w:t>
            </w:r>
          </w:p>
        </w:tc>
      </w:tr>
      <w:tr w14:paraId="7BEB7D37">
        <w:tblPrEx>
          <w:tblCellMar>
            <w:top w:w="0" w:type="dxa"/>
            <w:left w:w="108" w:type="dxa"/>
            <w:bottom w:w="0" w:type="dxa"/>
            <w:right w:w="108" w:type="dxa"/>
          </w:tblCellMar>
        </w:tblPrEx>
        <w:trPr>
          <w:trHeight w:val="567" w:hRule="exact"/>
          <w:jc w:val="center"/>
        </w:trPr>
        <w:tc>
          <w:tcPr>
            <w:tcW w:w="4201" w:type="dxa"/>
            <w:vAlign w:val="center"/>
          </w:tcPr>
          <w:p w14:paraId="5987AEF7">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（盖章）</w:t>
            </w:r>
          </w:p>
        </w:tc>
        <w:tc>
          <w:tcPr>
            <w:tcW w:w="4202" w:type="dxa"/>
            <w:vAlign w:val="center"/>
          </w:tcPr>
          <w:p w14:paraId="4FAAC991">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（盖章）</w:t>
            </w:r>
          </w:p>
        </w:tc>
      </w:tr>
      <w:tr w14:paraId="4787DF47">
        <w:tblPrEx>
          <w:tblCellMar>
            <w:top w:w="0" w:type="dxa"/>
            <w:left w:w="108" w:type="dxa"/>
            <w:bottom w:w="0" w:type="dxa"/>
            <w:right w:w="108" w:type="dxa"/>
          </w:tblCellMar>
        </w:tblPrEx>
        <w:trPr>
          <w:trHeight w:val="567" w:hRule="exact"/>
          <w:jc w:val="center"/>
        </w:trPr>
        <w:tc>
          <w:tcPr>
            <w:tcW w:w="4201" w:type="dxa"/>
            <w:vAlign w:val="center"/>
          </w:tcPr>
          <w:p w14:paraId="33311AF1">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地址： </w:t>
            </w:r>
          </w:p>
        </w:tc>
        <w:tc>
          <w:tcPr>
            <w:tcW w:w="4202" w:type="dxa"/>
            <w:vAlign w:val="center"/>
          </w:tcPr>
          <w:p w14:paraId="158D574C">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地址：</w:t>
            </w:r>
          </w:p>
        </w:tc>
      </w:tr>
      <w:tr w14:paraId="4C312CBD">
        <w:tblPrEx>
          <w:tblCellMar>
            <w:top w:w="0" w:type="dxa"/>
            <w:left w:w="108" w:type="dxa"/>
            <w:bottom w:w="0" w:type="dxa"/>
            <w:right w:w="108" w:type="dxa"/>
          </w:tblCellMar>
        </w:tblPrEx>
        <w:trPr>
          <w:trHeight w:val="567" w:hRule="exact"/>
          <w:jc w:val="center"/>
        </w:trPr>
        <w:tc>
          <w:tcPr>
            <w:tcW w:w="4201" w:type="dxa"/>
            <w:vAlign w:val="center"/>
          </w:tcPr>
          <w:p w14:paraId="26FF0D8C">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邮编：</w:t>
            </w:r>
          </w:p>
        </w:tc>
        <w:tc>
          <w:tcPr>
            <w:tcW w:w="4202" w:type="dxa"/>
            <w:vAlign w:val="center"/>
          </w:tcPr>
          <w:p w14:paraId="28980936">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邮编：</w:t>
            </w:r>
          </w:p>
        </w:tc>
      </w:tr>
      <w:tr w14:paraId="7378B689">
        <w:tblPrEx>
          <w:tblCellMar>
            <w:top w:w="0" w:type="dxa"/>
            <w:left w:w="108" w:type="dxa"/>
            <w:bottom w:w="0" w:type="dxa"/>
            <w:right w:w="108" w:type="dxa"/>
          </w:tblCellMar>
        </w:tblPrEx>
        <w:trPr>
          <w:trHeight w:val="567" w:hRule="exact"/>
          <w:jc w:val="center"/>
        </w:trPr>
        <w:tc>
          <w:tcPr>
            <w:tcW w:w="4201" w:type="dxa"/>
            <w:vAlign w:val="center"/>
          </w:tcPr>
          <w:p w14:paraId="70DF0E51">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法定代表人： </w:t>
            </w:r>
          </w:p>
        </w:tc>
        <w:tc>
          <w:tcPr>
            <w:tcW w:w="4202" w:type="dxa"/>
            <w:vAlign w:val="center"/>
          </w:tcPr>
          <w:p w14:paraId="46044CB0">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法定代表人：</w:t>
            </w:r>
          </w:p>
        </w:tc>
      </w:tr>
      <w:tr w14:paraId="38373D34">
        <w:tblPrEx>
          <w:tblCellMar>
            <w:top w:w="0" w:type="dxa"/>
            <w:left w:w="108" w:type="dxa"/>
            <w:bottom w:w="0" w:type="dxa"/>
            <w:right w:w="108" w:type="dxa"/>
          </w:tblCellMar>
        </w:tblPrEx>
        <w:trPr>
          <w:trHeight w:val="567" w:hRule="exact"/>
          <w:jc w:val="center"/>
        </w:trPr>
        <w:tc>
          <w:tcPr>
            <w:tcW w:w="4201" w:type="dxa"/>
            <w:vAlign w:val="center"/>
          </w:tcPr>
          <w:p w14:paraId="7A8CFBA5">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或被授权代表：</w:t>
            </w:r>
          </w:p>
        </w:tc>
        <w:tc>
          <w:tcPr>
            <w:tcW w:w="4202" w:type="dxa"/>
            <w:vAlign w:val="center"/>
          </w:tcPr>
          <w:p w14:paraId="00944D27">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或被授权代表</w:t>
            </w:r>
          </w:p>
        </w:tc>
      </w:tr>
      <w:tr w14:paraId="41011831">
        <w:tblPrEx>
          <w:tblCellMar>
            <w:top w:w="0" w:type="dxa"/>
            <w:left w:w="108" w:type="dxa"/>
            <w:bottom w:w="0" w:type="dxa"/>
            <w:right w:w="108" w:type="dxa"/>
          </w:tblCellMar>
        </w:tblPrEx>
        <w:trPr>
          <w:trHeight w:val="567" w:hRule="exact"/>
          <w:jc w:val="center"/>
        </w:trPr>
        <w:tc>
          <w:tcPr>
            <w:tcW w:w="4201" w:type="dxa"/>
            <w:vAlign w:val="center"/>
          </w:tcPr>
          <w:p w14:paraId="38806908">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电话：</w:t>
            </w:r>
          </w:p>
        </w:tc>
        <w:tc>
          <w:tcPr>
            <w:tcW w:w="4202" w:type="dxa"/>
            <w:vAlign w:val="center"/>
          </w:tcPr>
          <w:p w14:paraId="597B8915">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电话：</w:t>
            </w:r>
          </w:p>
        </w:tc>
      </w:tr>
      <w:tr w14:paraId="5AB32A43">
        <w:tblPrEx>
          <w:tblCellMar>
            <w:top w:w="0" w:type="dxa"/>
            <w:left w:w="108" w:type="dxa"/>
            <w:bottom w:w="0" w:type="dxa"/>
            <w:right w:w="108" w:type="dxa"/>
          </w:tblCellMar>
        </w:tblPrEx>
        <w:trPr>
          <w:trHeight w:val="567" w:hRule="exact"/>
          <w:jc w:val="center"/>
        </w:trPr>
        <w:tc>
          <w:tcPr>
            <w:tcW w:w="4201" w:type="dxa"/>
            <w:vAlign w:val="center"/>
          </w:tcPr>
          <w:p w14:paraId="2BE34339">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传真：</w:t>
            </w:r>
          </w:p>
        </w:tc>
        <w:tc>
          <w:tcPr>
            <w:tcW w:w="4202" w:type="dxa"/>
            <w:vAlign w:val="center"/>
          </w:tcPr>
          <w:p w14:paraId="1A369907">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传真：</w:t>
            </w:r>
          </w:p>
        </w:tc>
      </w:tr>
      <w:tr w14:paraId="4D4B6891">
        <w:tblPrEx>
          <w:tblCellMar>
            <w:top w:w="0" w:type="dxa"/>
            <w:left w:w="108" w:type="dxa"/>
            <w:bottom w:w="0" w:type="dxa"/>
            <w:right w:w="108" w:type="dxa"/>
          </w:tblCellMar>
        </w:tblPrEx>
        <w:trPr>
          <w:trHeight w:val="567" w:hRule="exact"/>
          <w:jc w:val="center"/>
        </w:trPr>
        <w:tc>
          <w:tcPr>
            <w:tcW w:w="4201" w:type="dxa"/>
            <w:vAlign w:val="center"/>
          </w:tcPr>
          <w:p w14:paraId="19515283">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开户银行：</w:t>
            </w:r>
          </w:p>
        </w:tc>
        <w:tc>
          <w:tcPr>
            <w:tcW w:w="4202" w:type="dxa"/>
            <w:vAlign w:val="center"/>
          </w:tcPr>
          <w:p w14:paraId="4C1FC518">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开户银行：</w:t>
            </w:r>
          </w:p>
        </w:tc>
      </w:tr>
      <w:tr w14:paraId="0ED896B7">
        <w:tblPrEx>
          <w:tblCellMar>
            <w:top w:w="0" w:type="dxa"/>
            <w:left w:w="108" w:type="dxa"/>
            <w:bottom w:w="0" w:type="dxa"/>
            <w:right w:w="108" w:type="dxa"/>
          </w:tblCellMar>
        </w:tblPrEx>
        <w:trPr>
          <w:trHeight w:val="567" w:hRule="exact"/>
          <w:jc w:val="center"/>
        </w:trPr>
        <w:tc>
          <w:tcPr>
            <w:tcW w:w="4201" w:type="dxa"/>
            <w:vAlign w:val="center"/>
          </w:tcPr>
          <w:p w14:paraId="3AF263F0">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日期：</w:t>
            </w:r>
          </w:p>
        </w:tc>
        <w:tc>
          <w:tcPr>
            <w:tcW w:w="4202" w:type="dxa"/>
            <w:vAlign w:val="center"/>
          </w:tcPr>
          <w:p w14:paraId="194C536E">
            <w:pPr>
              <w:widowControl w:val="0"/>
              <w:spacing w:after="0" w:line="360" w:lineRule="auto"/>
              <w:ind w:firstLine="480" w:firstLineChars="200"/>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日期：</w:t>
            </w:r>
          </w:p>
        </w:tc>
      </w:tr>
    </w:tbl>
    <w:p w14:paraId="500921AE">
      <w:pPr>
        <w:rPr>
          <w:rFonts w:hint="eastAsia" w:ascii="宋体" w:hAnsi="宋体" w:eastAsia="宋体" w:cs="宋体"/>
          <w:snapToGrid w:val="0"/>
          <w:color w:val="000000"/>
          <w:spacing w:val="-3"/>
          <w:kern w:val="0"/>
          <w:position w:val="19"/>
          <w:sz w:val="24"/>
          <w:szCs w:val="24"/>
          <w:lang w:val="en-US" w:eastAsia="en-US" w:bidi="ar-SA"/>
        </w:rPr>
      </w:pPr>
    </w:p>
    <w:p w14:paraId="7B8925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845459"/>
    <w:rsid w:val="3C845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jc w:val="center"/>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2026-06-03T09:22:00Z</dcterms:created>
  <dc:creator>young</dc:creator>
  <cp:lastModifiedBy>young</cp:lastModifiedBy>
  <dcterms:modified xsi:type="dcterms:W3CDTF">2026-06-03T09:25:07Z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2D3F702293344501A89C1201A2795BCE_11</vt:lpwstr>
  </property>
  <property fmtid="{D5CDD505-2E9C-101B-9397-08002B2CF9AE}" pid="4" name="KSOTemplateDocerSaveRecord">
    <vt:lpwstr>eyJoZGlkIjoiYzE4YzhkODJhMjU4NDU4YmEzOWI1N2E0OTViNDJkMTciLCJ1c2VySWQiOiIzMjM2OTc4NTYifQ==</vt:lpwstr>
  </property>
</Properties>
</file>